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Преузето са </w:t>
      </w:r>
      <w:hyperlink r:id="rId4">
        <w:r w:rsidRPr="00823954">
          <w:rPr>
            <w:rStyle w:val="Hyperlink"/>
            <w:color w:val="337AB7"/>
            <w:lang w:val="sr-Cyrl-RS"/>
          </w:rPr>
          <w:t>www.pravno-informacioni-sistem.rs</w:t>
        </w:r>
      </w:hyperlink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На основу члана 44г Закона о државним службеницима („Службени гласник РС”, бр. 79/05, 81/05 – исправка, 83/05 – исправка, 64/07, 67/07 – исправка, </w:t>
      </w:r>
      <w:r w:rsidRPr="00823954">
        <w:rPr>
          <w:color w:val="000000"/>
          <w:lang w:val="sr-Cyrl-RS"/>
        </w:rPr>
        <w:t>116/08, 104/09, 99/14, 94/17, 95/18 и 157/20)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Влада доноси</w:t>
      </w:r>
    </w:p>
    <w:p w:rsidR="0050286F" w:rsidRPr="00823954" w:rsidRDefault="00823954">
      <w:pPr>
        <w:spacing w:after="225"/>
        <w:jc w:val="center"/>
        <w:rPr>
          <w:lang w:val="sr-Cyrl-RS"/>
        </w:rPr>
      </w:pPr>
      <w:r w:rsidRPr="00823954">
        <w:rPr>
          <w:b/>
          <w:color w:val="000000"/>
          <w:lang w:val="sr-Cyrl-RS"/>
        </w:rPr>
        <w:t>УРЕДБУ</w:t>
      </w:r>
    </w:p>
    <w:p w:rsidR="0050286F" w:rsidRPr="00823954" w:rsidRDefault="00823954">
      <w:pPr>
        <w:spacing w:after="225"/>
        <w:jc w:val="center"/>
        <w:rPr>
          <w:lang w:val="sr-Cyrl-RS"/>
        </w:rPr>
      </w:pPr>
      <w:r w:rsidRPr="00823954">
        <w:rPr>
          <w:b/>
          <w:color w:val="000000"/>
          <w:lang w:val="sr-Cyrl-RS"/>
        </w:rPr>
        <w:t>о одређивању компетенц</w:t>
      </w:r>
      <w:r w:rsidRPr="00823954">
        <w:rPr>
          <w:b/>
          <w:color w:val="000000"/>
          <w:lang w:val="sr-Cyrl-RS"/>
        </w:rPr>
        <w:t>ија за рад државних службеника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"Службени гласник РС", број 9 од 21. јануара 2022.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b/>
          <w:color w:val="000000"/>
          <w:lang w:val="sr-Cyrl-RS"/>
        </w:rPr>
        <w:t>1. Уводна одредба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Садржина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1.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Овом уредбом ближе се одређују понашајне и опште функционалне компетенције и показатељи њиховог испољавања, као и посебне функционалне комп</w:t>
      </w:r>
      <w:r w:rsidRPr="00823954">
        <w:rPr>
          <w:color w:val="000000"/>
          <w:lang w:val="sr-Cyrl-RS"/>
        </w:rPr>
        <w:t>етенције у одређеној области рада, начин њиховог одређивања и области знања и вештина на које се односе.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b/>
          <w:color w:val="000000"/>
          <w:lang w:val="sr-Cyrl-RS"/>
        </w:rPr>
        <w:t>2. Понашајне компетенције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Показатељи испољавања понашајних компетенција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2.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Показатељи испољавања понашајних компетенција су примери пожељног радно</w:t>
      </w:r>
      <w:r w:rsidRPr="00823954">
        <w:rPr>
          <w:color w:val="000000"/>
          <w:lang w:val="sr-Cyrl-RS"/>
        </w:rPr>
        <w:t>г понашања који указују на присуство дате компетенције.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Показатељи испољавања понашајних компетенција утврђују се посебно за извршилачка радна места, за радна места руководилаца ужих унутрашњих јединица и положаје.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Компетенција „Управљање информацијама”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</w:t>
      </w:r>
      <w:r w:rsidRPr="00823954">
        <w:rPr>
          <w:color w:val="000000"/>
          <w:lang w:val="sr-Cyrl-RS"/>
        </w:rPr>
        <w:t>ан 3.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Компетенција „Управљање информацијама” односи се на прикупљање, разумевање, организовање, обраду, чување, размену и употребу информација и података у вези са обављањем послова радног места.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Показатељи којима државни службеник испољава компетенцију из</w:t>
      </w:r>
      <w:r w:rsidRPr="00823954">
        <w:rPr>
          <w:color w:val="000000"/>
          <w:lang w:val="sr-Cyrl-RS"/>
        </w:rPr>
        <w:t xml:space="preserve"> става 1. овог члана су: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За извршилачка радна места која нису руководећа: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(1) благовремено прикупља и користи релевантне информације из више различитих извора,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(2) правилно разуме и објективно сагледава информације,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(3) успешно организује информације, б</w:t>
      </w:r>
      <w:r w:rsidRPr="00823954">
        <w:rPr>
          <w:color w:val="000000"/>
          <w:lang w:val="sr-Cyrl-RS"/>
        </w:rPr>
        <w:t>азе података и друге документе,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(4) исправно анализира и повезује податке, увиђа логичке односе међу њима,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(5) брине о безбедности и поверљивости пословних информација,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(6) информације преноси на јасан и концизан начин;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2) За радна места руководилаца ужих </w:t>
      </w:r>
      <w:r w:rsidRPr="00823954">
        <w:rPr>
          <w:color w:val="000000"/>
          <w:lang w:val="sr-Cyrl-RS"/>
        </w:rPr>
        <w:t>унутрашњих јединица и положаје: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(1) доприноси да праве информације буду на располагању запосленима у правом тренутку,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(2) активно и благовремено тражи све потребне информације,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(3) активно и благовремено даје све потребне информације сарадницима и </w:t>
      </w:r>
      <w:r w:rsidRPr="00823954">
        <w:rPr>
          <w:color w:val="000000"/>
          <w:lang w:val="sr-Cyrl-RS"/>
        </w:rPr>
        <w:t>странкама,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(4) анализира и повезује информације из релевантних извора, правилно дефинише и закључује,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(5) обезбеђује несметану размену информација у свим правцима/међу сарадницима,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(6) доследан је у ажурирању и организовању информација и података,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(7) нове</w:t>
      </w:r>
      <w:r w:rsidRPr="00823954">
        <w:rPr>
          <w:color w:val="000000"/>
          <w:lang w:val="sr-Cyrl-RS"/>
        </w:rPr>
        <w:t xml:space="preserve"> информације укључује у планирање и доношење одлука.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Компетенција „Управљање задацима и остваривање резултата”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4.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Компетенција „Управљање задацима и остваривање резултата” односи се на организовање радних задатака на прописан, ефикасан и транспарентан</w:t>
      </w:r>
      <w:r w:rsidRPr="00823954">
        <w:rPr>
          <w:color w:val="000000"/>
          <w:lang w:val="sr-Cyrl-RS"/>
        </w:rPr>
        <w:t xml:space="preserve"> начин како би се реализовали планирани циљеви и остварили резултати.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Показатељи којима државни службеник испољава компетенцију из става 1. овог члана су: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За извршилачка радна места која нису руководећа: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(1) успешно планира и организује сопствени рад,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(2) извршава задатке у предвиђеним роковима,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(3) брз, ефикасан и методичан у раду,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(4) решава проблеме ефикасно, сврсисходно и на транспарентан начин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(5) подстиче и себе и друге на остваривање резултата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(6) одлуке су му базиране на анализи, расуђивању и ис</w:t>
      </w:r>
      <w:r w:rsidRPr="00823954">
        <w:rPr>
          <w:color w:val="000000"/>
          <w:lang w:val="sr-Cyrl-RS"/>
        </w:rPr>
        <w:t>куству;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За радна места руководилаца ужих унутрашњих јединица и положаје: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(1) обезбеђује остварење циљева организационе јединице,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(2) одлуке доноси благовремено,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(3) води рачуна о роковима и ургентности,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(4) планира и користи ресурсе за делотворно обавља</w:t>
      </w:r>
      <w:r w:rsidRPr="00823954">
        <w:rPr>
          <w:color w:val="000000"/>
          <w:lang w:val="sr-Cyrl-RS"/>
        </w:rPr>
        <w:t>ње посла,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(5) даје јасне задатке и прецизна упутства,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(6) организује запослене на функционалан начин и подстиче размену искустава како би се посао обавио квалитетно и у року,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(7) предвиђа проблеме и предлаже решења,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(8) оријентисан ка високим постигнућима.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Компетенција „Оријентација ка учењу и променама”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5.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Компетенција „Оријентација ка учењу и променама” односи се на активан и позитиван однос према учењу ради благовременог и конструктивног реаговања на промене из интерног (развој) и екстерног окружења</w:t>
      </w:r>
      <w:r w:rsidRPr="00823954">
        <w:rPr>
          <w:color w:val="000000"/>
          <w:lang w:val="sr-Cyrl-RS"/>
        </w:rPr>
        <w:t xml:space="preserve"> (адаптација).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Показатељи којима државни службеник испољава компетенцију из става 1. овог члана су: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За извршилачка радна места која нису руководећа: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(1) стално унапређује своја знања и вештине,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(2) брзо и без тешкоћа се прилагођава променама,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(3) отворе</w:t>
      </w:r>
      <w:r w:rsidRPr="00823954">
        <w:rPr>
          <w:color w:val="000000"/>
          <w:lang w:val="sr-Cyrl-RS"/>
        </w:rPr>
        <w:t>н је према новим алатима и приступима,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(4) остаје ефикасан под стресом и у ситуацијама појачаног притиска,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(5) уочава области у којима би требало додатно да учи и развија се,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(6) својим понашањем даје пример другима,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(7) активно размењује знања са другима,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(8) иницира унапређење рада,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(9) успешно балансира традиционалне и нове начине рада,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(10) радознао је и има широка интересовања;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За радна места руководилаца ужих унутрашњих јединица и положаје: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(1) своје понашање прилагођава различитим ситуацијама,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(2)</w:t>
      </w:r>
      <w:r w:rsidRPr="00823954">
        <w:rPr>
          <w:color w:val="000000"/>
          <w:lang w:val="sr-Cyrl-RS"/>
        </w:rPr>
        <w:t xml:space="preserve"> подстиче стварање интерфункционалних тимова ради размене знања и учења,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(3) успешно ради под стресом и не преноси га на сараднике,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(4) исказује спремност за лични развој и унапређење својих знања и вештина,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(5) константно унапређује свој рад и својим прим</w:t>
      </w:r>
      <w:r w:rsidRPr="00823954">
        <w:rPr>
          <w:color w:val="000000"/>
          <w:lang w:val="sr-Cyrl-RS"/>
        </w:rPr>
        <w:t>ером подстиче на то сараднике,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(6) иновира, предлаже и унапређује рад унутрашње јединице на основу података којима располаже,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(7) подстиче друге да уче и унапређују своје вештине,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(8) подстиче друге да иницирају промене,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(9) препознаје отпоре променама код</w:t>
      </w:r>
      <w:r w:rsidRPr="00823954">
        <w:rPr>
          <w:color w:val="000000"/>
          <w:lang w:val="sr-Cyrl-RS"/>
        </w:rPr>
        <w:t xml:space="preserve"> сарадника и налази начин за њихово превазилажење.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Компетенција „Изградња и одржавање професионалних односа”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6.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Компетенција „Изградња и одржавање професионалних односа” односи се на успешну комуникацију и сарадњу са колегама и заинтересованим странам</w:t>
      </w:r>
      <w:r w:rsidRPr="00823954">
        <w:rPr>
          <w:color w:val="000000"/>
          <w:lang w:val="sr-Cyrl-RS"/>
        </w:rPr>
        <w:t>а у циљу развоја дугорочних професионалних односа.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Показатељи којима државни службеник испољава компетенцију из става 1. овог члана су: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За извршилачка радна места која нису руководећа: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(1) отворен је и љубазан у комуникацији са другима,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(2) активно и </w:t>
      </w:r>
      <w:r w:rsidRPr="00823954">
        <w:rPr>
          <w:color w:val="000000"/>
          <w:lang w:val="sr-Cyrl-RS"/>
        </w:rPr>
        <w:t>пажљиво слуша друге,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(3) показује разумевање за туђу позицију и мишљење,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(4) поштује и уважава друге,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(5) укључује друге у дискусију, прихвата и развија идеје других,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(6) ефикасно ради у тиму,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(7) спремно пружа помоћ и подршку другима,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(8) гради квалитетне</w:t>
      </w:r>
      <w:r w:rsidRPr="00823954">
        <w:rPr>
          <w:color w:val="000000"/>
          <w:lang w:val="sr-Cyrl-RS"/>
        </w:rPr>
        <w:t xml:space="preserve"> односе и успешно отклања баријере у комуникацији,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(9) сарађује са другима и подстиче тимску сарадњу;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За радна места руководилаца ужих унутрашњих јединица и положаје: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(1) приступачан је, љубазан и отворен у комуникацији,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(2) поштује различитости и уважа</w:t>
      </w:r>
      <w:r w:rsidRPr="00823954">
        <w:rPr>
          <w:color w:val="000000"/>
          <w:lang w:val="sr-Cyrl-RS"/>
        </w:rPr>
        <w:t>ва друге,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(3) јасно и смирено саопштава „лаке” и „тешке” садржаје другима,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(4) вешт је у преговарању,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(5) дипломатичан је и тактичан у опхођењу са другима,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(6) ефикасно управља конфликтима,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(7) тим гради на бази узајамног поверења и подршке, подстиче отвор</w:t>
      </w:r>
      <w:r w:rsidRPr="00823954">
        <w:rPr>
          <w:color w:val="000000"/>
          <w:lang w:val="sr-Cyrl-RS"/>
        </w:rPr>
        <w:t>ени дијалог,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(8) одлучан, залаже се за себе и своје идеје на конструктиван и социјално прихватљив начин, уз уважавање других,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(9) гради мрежу професионалних односа са колегама и другим сарадницима.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Компетенција „Савесност, посвећеност и интегритет”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7.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Компетенција „Савесност, посвећеност и интегритет” односи се на посвећеност остварењу циљева органа и идентификовање са вредностима органа уз задржавање интегритета.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Показатељи којима државни службеник испољава компетенцију из става 1. овог члана су: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З</w:t>
      </w:r>
      <w:r w:rsidRPr="00823954">
        <w:rPr>
          <w:color w:val="000000"/>
          <w:lang w:val="sr-Cyrl-RS"/>
        </w:rPr>
        <w:t>а извршилачка радна места која нису руководећа: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(1) посвећен је и лојалан организацији,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(2) економично користи ресурсе којима располаже,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(3) савестан је и поуздан је у раду,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(4) има позитиван приступ раду и изазовима,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(5) отворен је да чује и размотри </w:t>
      </w:r>
      <w:r w:rsidRPr="00823954">
        <w:rPr>
          <w:color w:val="000000"/>
          <w:lang w:val="sr-Cyrl-RS"/>
        </w:rPr>
        <w:t>повратну информацију,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(6) спремно признаје грешке и преузима одговорност за њих,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(7) има поверење руководилаца и колега,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(8) искрен је и поштен у односима у радном окружењу,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(9) доследно поштује етичке, професионалне и правне норме у раду;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За радна мест</w:t>
      </w:r>
      <w:r w:rsidRPr="00823954">
        <w:rPr>
          <w:color w:val="000000"/>
          <w:lang w:val="sr-Cyrl-RS"/>
        </w:rPr>
        <w:t>а руководилаца ужих унутрашњих јединица и положаје: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(1) посвећен је испуњавању захтева, потреба и очекивања интерних и екстерних корисника услуга,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(2) превентивно делује на ситуације у којима може доћи до сукоба интереса,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(3) гради организациону културу по</w:t>
      </w:r>
      <w:r w:rsidRPr="00823954">
        <w:rPr>
          <w:color w:val="000000"/>
          <w:lang w:val="sr-Cyrl-RS"/>
        </w:rPr>
        <w:t>штовања достојанства, угледа и заједничког добра,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(4) истрајан је и фокусиран и у случају значајних препрека,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(5) одговорно и савесно планира и користи јавне ресурсе,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(6) објективан је и правичан у поступању са другима,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(7) поштује радну дисциплину и своји</w:t>
      </w:r>
      <w:r w:rsidRPr="00823954">
        <w:rPr>
          <w:color w:val="000000"/>
          <w:lang w:val="sr-Cyrl-RS"/>
        </w:rPr>
        <w:t>м понашањем даје пример сарадницима,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(8) инсистира на поштовању етичких, професионалних и правних норми у раду,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(9) има лични ауторитет и ауторитет знања,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(10) преузима одговорност за лоше резултате унутрашње јединице којом руководи – не пребацује је на </w:t>
      </w:r>
      <w:r w:rsidRPr="00823954">
        <w:rPr>
          <w:color w:val="000000"/>
          <w:lang w:val="sr-Cyrl-RS"/>
        </w:rPr>
        <w:t>друге.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Компетенција „Управљање људским ресурсима”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8.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Компетенција „Управљање људским ресурсима” односи се на примену концепта вођења и развоја запослених базираног на компетенцијама ради остварења стратешких циљева и постизања високог нивоа учинка у р</w:t>
      </w:r>
      <w:r w:rsidRPr="00823954">
        <w:rPr>
          <w:color w:val="000000"/>
          <w:lang w:val="sr-Cyrl-RS"/>
        </w:rPr>
        <w:t>аду органа.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Показатељи којима државни службеник испољава компетенцију из става 1. овог члана су: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залаже се за привлачење и задржавање стручног кадра;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препознаје и ангажује потенцијале запослених;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јасно дефинише захтеве и очекивања од других у погл</w:t>
      </w:r>
      <w:r w:rsidRPr="00823954">
        <w:rPr>
          <w:color w:val="000000"/>
          <w:lang w:val="sr-Cyrl-RS"/>
        </w:rPr>
        <w:t>еду радног понашања и постизања резултата;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даје конструктивну повратну информацију запосленима о ономе штo раде добро и указује на недостатке у раду;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мотивише запослене на веће залагање;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ствара подстицајну радну атмосферу;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примењује различите м</w:t>
      </w:r>
      <w:r w:rsidRPr="00823954">
        <w:rPr>
          <w:color w:val="000000"/>
          <w:lang w:val="sr-Cyrl-RS"/>
        </w:rPr>
        <w:t>етоде развоја запослених (коучинг, менторство итд.);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8) подстиче запослене да развијају своје компетенције и планирају своје каријере;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9) посвећен је спровођењу мера за остваривање и унапређење родне и друге равноправности.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 xml:space="preserve">Компетенција „Стратешко </w:t>
      </w:r>
      <w:r w:rsidRPr="00823954">
        <w:rPr>
          <w:i/>
          <w:color w:val="000000"/>
          <w:lang w:val="sr-Cyrl-RS"/>
        </w:rPr>
        <w:t>управљање”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9.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Компетенција „Стратешко управљање” односи се на дефинисање и спровођење стратешких циљева органа.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Показатељи којима државни службеник испољава компетенцију из става 1. овог члана су: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 xml:space="preserve">1) реагује на промене које се дешавају у области рада </w:t>
      </w:r>
      <w:r w:rsidRPr="00823954">
        <w:rPr>
          <w:color w:val="000000"/>
          <w:lang w:val="sr-Cyrl-RS"/>
        </w:rPr>
        <w:t>којом руководи и обезбеђује одрживост функционисања организације у кризним ситуацијама;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промовише и креира позитиван имиџ организације у јавности;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стратешки размишља, креира стратешку визију и циљеве;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благовремено остварује стратешке циљеве;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пр</w:t>
      </w:r>
      <w:r w:rsidRPr="00823954">
        <w:rPr>
          <w:color w:val="000000"/>
          <w:lang w:val="sr-Cyrl-RS"/>
        </w:rPr>
        <w:t>оцењује потенцијалне могућности и ризике и предлаже решења;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стратешку визију и циљеве преноси запосленима;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води рачуна о усклађености стратешких циљева органа/јединица са стратешким циљевима у другим релевантним областима.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b/>
          <w:color w:val="000000"/>
          <w:lang w:val="sr-Cyrl-RS"/>
        </w:rPr>
        <w:t>3. Функционалне компетенциј</w:t>
      </w:r>
      <w:r w:rsidRPr="00823954">
        <w:rPr>
          <w:b/>
          <w:color w:val="000000"/>
          <w:lang w:val="sr-Cyrl-RS"/>
        </w:rPr>
        <w:t>е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Показатељи испољавања општих функционалних компетенција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10.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Показатељи испољавања општих функционалних компетенција односе се на примену одређених знања и вештина које су потребне за делотворно обављање свих послова у државним органима.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Компетенција</w:t>
      </w:r>
      <w:r w:rsidRPr="00823954">
        <w:rPr>
          <w:i/>
          <w:color w:val="000000"/>
          <w:lang w:val="sr-Cyrl-RS"/>
        </w:rPr>
        <w:t xml:space="preserve"> „Организација и рад државних органа Републике Србије”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11.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Компетенција „Организација и рад државних органа Републике Србије” односи се на поседовање знања у области рада државних органа, разумевање организације, врсте послова, начела рада и унутрашње</w:t>
      </w:r>
      <w:r w:rsidRPr="00823954">
        <w:rPr>
          <w:color w:val="000000"/>
          <w:lang w:val="sr-Cyrl-RS"/>
        </w:rPr>
        <w:t>г уређења државног органа, и то: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историјски, правни, политички, културни и економски контекст у Републици Србији;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послови и уређење државних органа;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начела деловања државних органа;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права и обавезе државних службеника;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прописи у области борб</w:t>
      </w:r>
      <w:r w:rsidRPr="00823954">
        <w:rPr>
          <w:color w:val="000000"/>
          <w:lang w:val="sr-Cyrl-RS"/>
        </w:rPr>
        <w:t>е против корупције и унапређења интегритета;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међусобни однос државних органа и њихов однос са другим имаоцима јавних овлашћења.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Компетенција „Дигитална писменост”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12.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Компетенција „Дигитална писменост” односи се на поседовање знања и вештина за </w:t>
      </w:r>
      <w:r w:rsidRPr="00823954">
        <w:rPr>
          <w:color w:val="000000"/>
          <w:lang w:val="sr-Cyrl-RS"/>
        </w:rPr>
        <w:t>квалитетно и поуздано коришћење информационих технологија у раду и основних програмских апликација, и то: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1) основе коришћења рачунара – коришћење уређаја, креирање и управљање фајловима, мреже и сигурносни аспекти;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основе коришћења интернета – веб прет</w:t>
      </w:r>
      <w:r w:rsidRPr="00823954">
        <w:rPr>
          <w:color w:val="000000"/>
          <w:lang w:val="sr-Cyrl-RS"/>
        </w:rPr>
        <w:t>раживање, ефикасно проналажење информација, онлајн комуникација и е-маил поруке;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обрада текста – креирање, форматирање и завршна обрада текстуалних докумената;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4) табеларне калкулације – креирање, форматирање, измене и коришћење радних листова, </w:t>
      </w:r>
      <w:r w:rsidRPr="00823954">
        <w:rPr>
          <w:color w:val="000000"/>
          <w:lang w:val="sr-Cyrl-RS"/>
        </w:rPr>
        <w:t>стандардних формула, функција и креирање графикона.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Компетенција „Пословна комуникација”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13.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Компетенција „Пословна комуникација” односи се на поседовање знања и вештина неопходних за ефикасну усмену и писану пословну комуникацију, и то: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вербална и</w:t>
      </w:r>
      <w:r w:rsidRPr="00823954">
        <w:rPr>
          <w:color w:val="000000"/>
          <w:lang w:val="sr-Cyrl-RS"/>
        </w:rPr>
        <w:t xml:space="preserve"> невербална комуникација;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правопис и граматика српског језика;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писана пословна комуникација;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усмена пословна комуникација;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телефонска и електронска комуникација.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Посебне функционалне компетенције у одређеној области рада и заједничке области ра</w:t>
      </w:r>
      <w:r w:rsidRPr="00823954">
        <w:rPr>
          <w:i/>
          <w:color w:val="000000"/>
          <w:lang w:val="sr-Cyrl-RS"/>
        </w:rPr>
        <w:t>да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14.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Посебне функционалне компетенције у одређеној области рада односе се на потребна општа и методолошка знања и вештине у оквиру одређене области рада које државни службеник треба да примењује у раду да би делотворно обавио посао.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Одређене области</w:t>
      </w:r>
      <w:r w:rsidRPr="00823954">
        <w:rPr>
          <w:color w:val="000000"/>
          <w:lang w:val="sr-Cyrl-RS"/>
        </w:rPr>
        <w:t xml:space="preserve"> рада заједничке за све државне органе су: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послови руковођења;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инспекцијски послови;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нормативни послови;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управно-правни послови;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студијско-аналитички послови;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стручно-оперативни послови;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послови управљања фондовима ЕУ и међународном ра</w:t>
      </w:r>
      <w:r w:rsidRPr="00823954">
        <w:rPr>
          <w:color w:val="000000"/>
          <w:lang w:val="sr-Cyrl-RS"/>
        </w:rPr>
        <w:t>звојном помоћи;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8) послови међународне сарадње и европских интеграција;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9) финансијско-материјални послови;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10) послови интерне ревизије;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11) информатички послови;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12) послови управљања људским ресурсима;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13) послови јавних набавки;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14) послови односа с </w:t>
      </w:r>
      <w:r w:rsidRPr="00823954">
        <w:rPr>
          <w:color w:val="000000"/>
          <w:lang w:val="sr-Cyrl-RS"/>
        </w:rPr>
        <w:t>јавношћу;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15) административно-технички послови.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Области знања и вештина за посебну функционалну компетенцију за област рада послови руковођења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15.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функционалну компетенцију за област рада послови руковођења односе се</w:t>
      </w:r>
      <w:r w:rsidRPr="00823954">
        <w:rPr>
          <w:color w:val="000000"/>
          <w:lang w:val="sr-Cyrl-RS"/>
        </w:rPr>
        <w:t xml:space="preserve">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општи, стратегијски и финансијски менаџмент;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управљање људским ресурсима базирано на компетенцијама;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организационо понашање;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управљање променама;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управљање пројектима;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стратегије и канале комуникације;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управљање јавним политикама.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Области знања и вештина за посебну функционалну компетенцију за област рада инспекцијски послови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16.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функционалну компетенцију за област рада инспекцијски послови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општи управни поступак и основе упр</w:t>
      </w:r>
      <w:r w:rsidRPr="00823954">
        <w:rPr>
          <w:color w:val="000000"/>
          <w:lang w:val="sr-Cyrl-RS"/>
        </w:rPr>
        <w:t>авних спорова;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основе казненог права и казнених поступака;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основе прекршајног права и прекршајни поступак;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основе привредног права и привредног пословања;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поступак инспекцијског надзора и методе анализе ризика;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6) функционални јединствени </w:t>
      </w:r>
      <w:r w:rsidRPr="00823954">
        <w:rPr>
          <w:color w:val="000000"/>
          <w:lang w:val="sr-Cyrl-RS"/>
        </w:rPr>
        <w:t>информациони систем;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основе вештинa комуникације, конструктивног решавања конфликата и управљања стресом;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8) кодекс понашања и етике инспектора.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Области знања и вештина за посебну функционалну компетенцију за област рада нормативни послови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17.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</w:t>
      </w:r>
      <w:r w:rsidRPr="00823954">
        <w:rPr>
          <w:color w:val="000000"/>
          <w:lang w:val="sr-Cyrl-RS"/>
        </w:rPr>
        <w:t>сти знања и вештина за посебну функционалну компетенцију за област рада нормативни послови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стратешке циљеве Републике Србије у различитим областима;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процес управљања јавним политикама;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законодавни процес;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4) номотехничка и </w:t>
      </w:r>
      <w:r w:rsidRPr="00823954">
        <w:rPr>
          <w:color w:val="000000"/>
          <w:lang w:val="sr-Cyrl-RS"/>
        </w:rPr>
        <w:t>правно-техничка правила за израду правних аката (усаглашеност прописа и општих аката у правном систему) и мишљења о примени закона и општих правних аката;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методологију праћења примене и ефеката донетих прописа и извештавање релевантним телима и органима</w:t>
      </w:r>
      <w:r w:rsidRPr="00823954">
        <w:rPr>
          <w:color w:val="000000"/>
          <w:lang w:val="sr-Cyrl-RS"/>
        </w:rPr>
        <w:t>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Области знања и вештина за посебну функционалну компетенцију за област рада управно-правни послови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18.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функционалну компетенцију за област рада управно-правни послови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општи управни поступак;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пра</w:t>
      </w:r>
      <w:r w:rsidRPr="00823954">
        <w:rPr>
          <w:color w:val="000000"/>
          <w:lang w:val="sr-Cyrl-RS"/>
        </w:rPr>
        <w:t>вила извршења решења донетог у управном поступку;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посебне управне поступке;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управне спорове, правила поступка, извршење донетих судских пресуда;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праксу/ставове Управног суда.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Области знања и вештина за посебну функционалну компетенцију за област р</w:t>
      </w:r>
      <w:r w:rsidRPr="00823954">
        <w:rPr>
          <w:i/>
          <w:color w:val="000000"/>
          <w:lang w:val="sr-Cyrl-RS"/>
        </w:rPr>
        <w:t>ада студијско-аналитички послови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19.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функционалну компетенцију за област рада студијско-аналитички послови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методе и технике анализирања планских докумената и прописа и израде извештаја о стању у обла</w:t>
      </w:r>
      <w:r w:rsidRPr="00823954">
        <w:rPr>
          <w:color w:val="000000"/>
          <w:lang w:val="sr-Cyrl-RS"/>
        </w:rPr>
        <w:t>сти;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технике и методе спровођења еx-ante и еx-post анализе ефеката јавних политика/прописа и консултативног процеса и израде одговарајућих извештаја;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3) идентификовање ресурса неопходних за управљање јавним политикама – costing;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методологију припреме</w:t>
      </w:r>
      <w:r w:rsidRPr="00823954">
        <w:rPr>
          <w:color w:val="000000"/>
          <w:lang w:val="sr-Cyrl-RS"/>
        </w:rPr>
        <w:t xml:space="preserve"> докумената јавних политика и формалну процедуру за њихово усвајање;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методологију праћења, спровођења, вредновања и извештавања о ефектима јавних политика.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Области знања и вештина за посебну функционалну компетенцију за област рада стручно-оперативни по</w:t>
      </w:r>
      <w:r w:rsidRPr="00823954">
        <w:rPr>
          <w:i/>
          <w:color w:val="000000"/>
          <w:lang w:val="sr-Cyrl-RS"/>
        </w:rPr>
        <w:t>слови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20.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функционалну компетенцију за област рада стручно-оперативни послови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методе и технике опсервације, прикупљања и евидентирања података;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технике обраде и израде прегледа података;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методе</w:t>
      </w:r>
      <w:r w:rsidRPr="00823954">
        <w:rPr>
          <w:color w:val="000000"/>
          <w:lang w:val="sr-Cyrl-RS"/>
        </w:rPr>
        <w:t xml:space="preserve"> анализе и закључивања о стању у области;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поступак израде стручних налаза;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методе и технике израде извештаја на основу одређених евиденција;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технике израде општих, појединачних и других правних и осталих аката;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облигационе односе;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8) </w:t>
      </w:r>
      <w:r w:rsidRPr="00823954">
        <w:rPr>
          <w:color w:val="000000"/>
          <w:lang w:val="sr-Cyrl-RS"/>
        </w:rPr>
        <w:t>имовинско-правне односе.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Посебна функционална компетенција за област рада послови управљања фондовима ЕУ и међународном развојном помоћи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21.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функционалну компетенцију за област рада послови управљања фондовима ЕУ и м</w:t>
      </w:r>
      <w:r w:rsidRPr="00823954">
        <w:rPr>
          <w:color w:val="000000"/>
          <w:lang w:val="sr-Cyrl-RS"/>
        </w:rPr>
        <w:t>еђународном развојном помоћи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релевантни правни и стратешки оквир који се односи на фондове ЕУ и друге изворе међународне развојне помоћи;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изградњу и одржавање система за управљање програмима и пројектима по захтевима ЕУ;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3) процес </w:t>
      </w:r>
      <w:r w:rsidRPr="00823954">
        <w:rPr>
          <w:color w:val="000000"/>
          <w:lang w:val="sr-Cyrl-RS"/>
        </w:rPr>
        <w:t>управљања пројектним циклусом у контексту програма ЕУ и других програма финансираних из међународне развојне помоћи;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механизме, процедуре и инструменте планирања и програмирања средстава фондова ЕУ (ИПА и ЕСИ фондови) и развојне помоћи у различитим обла</w:t>
      </w:r>
      <w:r w:rsidRPr="00823954">
        <w:rPr>
          <w:color w:val="000000"/>
          <w:lang w:val="sr-Cyrl-RS"/>
        </w:rPr>
        <w:t>стима;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5) поступак програмирања фондова ЕУ и других програма финансираних из међународне развојне помоћи, као и поступак приоритизације пројектних идеја, писање програмских и пројектних докумената;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генерисање пројеката, припрему и спровођење грант шема,</w:t>
      </w:r>
      <w:r w:rsidRPr="00823954">
        <w:rPr>
          <w:color w:val="000000"/>
          <w:lang w:val="sr-Cyrl-RS"/>
        </w:rPr>
        <w:t xml:space="preserve"> финансијских инструмената и уговора у оквиру ИПА и ЕСИ фондова (јавне набавке, уговарање, спровођење и праћење спровођења уговора, видљивост, извештавање и одобрење плаћања);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7) финансијско управљање и контролу у ИПА и ЕСИ контексту (управљање, контрола, </w:t>
      </w:r>
      <w:r w:rsidRPr="00823954">
        <w:rPr>
          <w:color w:val="000000"/>
          <w:lang w:val="sr-Cyrl-RS"/>
        </w:rPr>
        <w:t>рачуноводство);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8) методологију праћења резултата спровођења, извештавања и вредновања резултата програма и пројеката на основу утврђених показатеља.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 xml:space="preserve">Области знања и вештина за посебну функционалну компетенцију за област рада послови међународне сарадње и </w:t>
      </w:r>
      <w:r w:rsidRPr="00823954">
        <w:rPr>
          <w:i/>
          <w:color w:val="000000"/>
          <w:lang w:val="sr-Cyrl-RS"/>
        </w:rPr>
        <w:t>европских интеграција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22.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функционалну компетенцију за област рада послови међународне сарадње и европских интеграција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правни и политички систем и спољну политику Републике Србије;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основе међунаро</w:t>
      </w:r>
      <w:r w:rsidRPr="00823954">
        <w:rPr>
          <w:color w:val="000000"/>
          <w:lang w:val="sr-Cyrl-RS"/>
        </w:rPr>
        <w:t>дног јавног права, међународне односе и дипломатско право;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конзуларно право и праксу;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поступак планирања и организовања билатералне и мултилатералне сарадње;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методологију праћења, примене и извештавања о ефектима потписаних међународних споразума;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пословно-дипломатски протокол и дипломатску праксу;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основе правног и политичког система ЕУ;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8) поступак праћења и спровођења обавеза које произилазе из процеса приступања ЕУ;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9) механизме координације и извештавања у процесу приступања ЕУ;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10) пропи</w:t>
      </w:r>
      <w:r w:rsidRPr="00823954">
        <w:rPr>
          <w:color w:val="000000"/>
          <w:lang w:val="sr-Cyrl-RS"/>
        </w:rPr>
        <w:t>се ЕУ у контексту праћења усклађивања прописа Републике Србије са прописима и стандардима Европске уније.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Области знања и вештина за посебну функционалну компетенцију за област рада финансијско-материјални послови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23.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Области знања и вештина за </w:t>
      </w:r>
      <w:r w:rsidRPr="00823954">
        <w:rPr>
          <w:color w:val="000000"/>
          <w:lang w:val="sr-Cyrl-RS"/>
        </w:rPr>
        <w:t>посебну функционалну компетенцију за област рада финансијско-материјални послови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1) буџетски систем Републике Србије;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међународне рачуноводствене стандарде у јавном сектору;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методе и поступке финансијског планирања, анализе и извештавањ</w:t>
      </w:r>
      <w:r w:rsidRPr="00823954">
        <w:rPr>
          <w:color w:val="000000"/>
          <w:lang w:val="sr-Cyrl-RS"/>
        </w:rPr>
        <w:t>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терминологију, стандарде, методе и процедуре из области буџетског рачуноводства и извештавања;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поступак планирања буџета и извештавања;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поступак извршења буџета;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релевантне софтвере.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Области знања и вештина за посебну функционалну компетенци</w:t>
      </w:r>
      <w:r w:rsidRPr="00823954">
        <w:rPr>
          <w:i/>
          <w:color w:val="000000"/>
          <w:lang w:val="sr-Cyrl-RS"/>
        </w:rPr>
        <w:t>ју за област рада послови интерне ревизије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24.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функционалну компетенцију за област рада послови интерне ревизије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међународне стандарде у области интерне ревизије у јавном сектору и кодекс струковне е</w:t>
      </w:r>
      <w:r w:rsidRPr="00823954">
        <w:rPr>
          <w:color w:val="000000"/>
          <w:lang w:val="sr-Cyrl-RS"/>
        </w:rPr>
        <w:t>тике;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методе и алате интерне ревизије;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ревизију система, ревизију успешности, финансијску ревизију и ревизију усаглашености са прописима;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ревизију свих пословних процеса, укључујући и ревизију коришћења средстава ЕУ;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поступак припреме повеље ин</w:t>
      </w:r>
      <w:r w:rsidRPr="00823954">
        <w:rPr>
          <w:color w:val="000000"/>
          <w:lang w:val="sr-Cyrl-RS"/>
        </w:rPr>
        <w:t>терне ревизије, стратешки и годишњи план интерне ревизије;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поступак спровођења планова интерне ревизије.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Области знања и вештина за посебну функционалну компетенцију за област рада информатички послови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25.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</w:t>
      </w:r>
      <w:r w:rsidRPr="00823954">
        <w:rPr>
          <w:color w:val="000000"/>
          <w:lang w:val="sr-Cyrl-RS"/>
        </w:rPr>
        <w:t>налну компетенцију за област рада информатички послови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TCP/IP и DNS;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серверски и оперативни системи (МS Windows, Linux);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базе података;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програмски језик;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системе дељења ресурса;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хардвер;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7) информациону безбедност.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 xml:space="preserve">Области </w:t>
      </w:r>
      <w:r w:rsidRPr="00823954">
        <w:rPr>
          <w:i/>
          <w:color w:val="000000"/>
          <w:lang w:val="sr-Cyrl-RS"/>
        </w:rPr>
        <w:t>знања и вештина за посебну функционалну компетенцију за област рада послови управљања људским ресурсима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26.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функционалну компетенцију за област рада послови управљања људским ресурсима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информациони с</w:t>
      </w:r>
      <w:r w:rsidRPr="00823954">
        <w:rPr>
          <w:color w:val="000000"/>
          <w:lang w:val="sr-Cyrl-RS"/>
        </w:rPr>
        <w:t>истем за управљање људским ресурсима;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прописе у области радно-правних односа у државним органима;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компетенције за рад државних службеника;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базичне функције управљања људским ресурсима: анализу посла, кадровско планирање, регрутацију, селекцију, ув</w:t>
      </w:r>
      <w:r w:rsidRPr="00823954">
        <w:rPr>
          <w:color w:val="000000"/>
          <w:lang w:val="sr-Cyrl-RS"/>
        </w:rPr>
        <w:t>ођење у посао, оцењивање, награђивање и напредовање, стручно усавршавање;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развојне функције управљања људским ресурсима: професионални развој, инструменте развоја, управљање каријером, управљање талентима;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организациону културу и понашање;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стратеш</w:t>
      </w:r>
      <w:r w:rsidRPr="00823954">
        <w:rPr>
          <w:color w:val="000000"/>
          <w:lang w:val="sr-Cyrl-RS"/>
        </w:rPr>
        <w:t>ко управљање људским ресурсима.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Области знања и вештина за посебну функционалну компетенцију за област рада послови јавних набавки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27.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функционалну компетенцију за област рада послови јавних набавки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1) </w:t>
      </w:r>
      <w:r w:rsidRPr="00823954">
        <w:rPr>
          <w:color w:val="000000"/>
          <w:lang w:val="sr-Cyrl-RS"/>
        </w:rPr>
        <w:t>методологију за припрему и израду плана јавних набавки;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методологију за припрему документације о набавци у поступку јавних набавки;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методологију за отварање и стручну оцену понуда и доношење одлуке о исходу поступка јавне набавке;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4) методологију за </w:t>
      </w:r>
      <w:r w:rsidRPr="00823954">
        <w:rPr>
          <w:color w:val="000000"/>
          <w:lang w:val="sr-Cyrl-RS"/>
        </w:rPr>
        <w:t>заштиту права у поступку јавних набавки;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методологију за праћење измене уговора о јавној набавци;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облигационе односе;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методологију рада на Порталу јавних набавки.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 xml:space="preserve">Области знања и вештина за посебну функционалну компетенцију за област рада послови </w:t>
      </w:r>
      <w:r w:rsidRPr="00823954">
        <w:rPr>
          <w:i/>
          <w:color w:val="000000"/>
          <w:lang w:val="sr-Cyrl-RS"/>
        </w:rPr>
        <w:t>односа с јавношћу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28.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Области знања и вештина за посебну функционалну компетенцију за област рада послови односа с јавношћу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управљање односима с јавношћу;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односе с медијима;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методологију и алате за прикупљање и анализу података;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медијску писменост;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интегрисане маркетинг комуникације;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менаџмент догађаја;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кризни менаџмент;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8) заштиту података о личности.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Области знања и вештина за посебну функционалну компетенцију за област рада административно-технички послови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29.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Области знања и вештина за посебну функционалну компетенцију за област рада административно-технички послови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канцеларијско пословање;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методе и технике прикупљања података ради даље обраде;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технике евидентирања и ажурирања података у</w:t>
      </w:r>
      <w:r w:rsidRPr="00823954">
        <w:rPr>
          <w:color w:val="000000"/>
          <w:lang w:val="sr-Cyrl-RS"/>
        </w:rPr>
        <w:t xml:space="preserve"> релевантним базама података;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технике израде потврда и уверења о којима се води службена евиденција;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технике припреме материјала ради даљег приказивања и употребе;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методе вођења интерних и доставних књига.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Друге посебне функционалне компетенције у</w:t>
      </w:r>
      <w:r w:rsidRPr="00823954">
        <w:rPr>
          <w:i/>
          <w:color w:val="000000"/>
          <w:lang w:val="sr-Cyrl-RS"/>
        </w:rPr>
        <w:t xml:space="preserve"> одређеној области рада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30.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 xml:space="preserve">Посебне функционалне компетенције у одређеној области рада које нису утврђене овом уредбом и области знања и вештина на које се односе, могу се утврдити актом руководиоца органа државне управе уз претходно прибављену </w:t>
      </w:r>
      <w:r w:rsidRPr="00823954">
        <w:rPr>
          <w:color w:val="000000"/>
          <w:lang w:val="sr-Cyrl-RS"/>
        </w:rPr>
        <w:t>сагласност Службе за управљање кадровима.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Посебне функционалне компетенције у одређеној области рада које нису утврђене овом уредбом и области знања и вештина на које се односе, могу се утврдити актом министра надлежног за правосуђе – за запослене у судови</w:t>
      </w:r>
      <w:r w:rsidRPr="00823954">
        <w:rPr>
          <w:color w:val="000000"/>
          <w:lang w:val="sr-Cyrl-RS"/>
        </w:rPr>
        <w:t>ма, јавним тужилаштвима и државном правобранилаштву, односно актом руководиоца органа за друге државне органе.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Посебне функционалне компетенције за одређено радно место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Члан 31.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Посебне функционалне компетенције за одређено радно место односе се на скуп по</w:t>
      </w:r>
      <w:r w:rsidRPr="00823954">
        <w:rPr>
          <w:color w:val="000000"/>
          <w:lang w:val="sr-Cyrl-RS"/>
        </w:rPr>
        <w:t>требних специфичних и методолошких знања и вештина у оквиру одређеног радног места које државни службеник треба да примењује у раду да би делотворно обавио послове радног места.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Специфична и методолошка знања и вештине односе се на: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1) планска документа, п</w:t>
      </w:r>
      <w:r w:rsidRPr="00823954">
        <w:rPr>
          <w:color w:val="000000"/>
          <w:lang w:val="sr-Cyrl-RS"/>
        </w:rPr>
        <w:t>рописе и акта из надлежности и организације органа;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2) прописе из делокруга радног места;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3) процедуре и методологије из делокруга радног места;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4) софтвере (посебни софтвери неопходни за рад на радном месту);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5) руковање специфичном опремом за рад;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6) лиц</w:t>
      </w:r>
      <w:r w:rsidRPr="00823954">
        <w:rPr>
          <w:color w:val="000000"/>
          <w:lang w:val="sr-Cyrl-RS"/>
        </w:rPr>
        <w:t>енце/сертификате;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7) возачку дозволу;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8) страни језик (препорука за државне органе је да се ниво знања језика одреди у складу са заједничким европским референтним оквиром за језике (CEFR)).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b/>
          <w:color w:val="000000"/>
          <w:lang w:val="sr-Cyrl-RS"/>
        </w:rPr>
        <w:t>4. Одређивање компетенција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 xml:space="preserve">Одређивање понашајних и општих </w:t>
      </w:r>
      <w:r w:rsidRPr="00823954">
        <w:rPr>
          <w:i/>
          <w:color w:val="000000"/>
          <w:lang w:val="sr-Cyrl-RS"/>
        </w:rPr>
        <w:t>функционалних компетенција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32.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Све понашајне компетенције које се односе на одређену врсту радних места државних службеника и све опште функционалне компетенције утврђене овом уредбом уносе се у Образац компетенција тог радног места у државним органим</w:t>
      </w:r>
      <w:r w:rsidRPr="00823954">
        <w:rPr>
          <w:color w:val="000000"/>
          <w:lang w:val="sr-Cyrl-RS"/>
        </w:rPr>
        <w:t>а.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Образац компетенција одштампан је уз ову уредбу и чини њен саставни део.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Одређивање посебних функционалних компетенција у одређеној области рада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33.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На основу описа послова радног места руководилац унутрашње јединице у којој се налази одређено радн</w:t>
      </w:r>
      <w:r w:rsidRPr="00823954">
        <w:rPr>
          <w:color w:val="000000"/>
          <w:lang w:val="sr-Cyrl-RS"/>
        </w:rPr>
        <w:t>о место, у сарадњи са јединицом за кадрове у државном органу при састављању описа послова радног места одређује оне посебне функционалне компетенције у одређеној области рада утврђене овом уредбом или актом из члана 30. ове уредбе које су потребне за делот</w:t>
      </w:r>
      <w:r w:rsidRPr="00823954">
        <w:rPr>
          <w:color w:val="000000"/>
          <w:lang w:val="sr-Cyrl-RS"/>
        </w:rPr>
        <w:t>ворно обављање послова у одређеној области рада, уношењем наведене компетенције и области знања и вештина из те компетенције у Образац компетенција тог радног места.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lastRenderedPageBreak/>
        <w:t>Ако на основу описа послова радног места произилази да се послови обављају само из једне о</w:t>
      </w:r>
      <w:r w:rsidRPr="00823954">
        <w:rPr>
          <w:color w:val="000000"/>
          <w:lang w:val="sr-Cyrl-RS"/>
        </w:rPr>
        <w:t>бласти рада у Обрасцу компетенција утврђује се та посебна функционална компетенција са свим или са најмање четири области знања и вештина из те компетенције које запослени мора да поседује да би делотворно обављао послове.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Ако на основу описа послова радно</w:t>
      </w:r>
      <w:r w:rsidRPr="00823954">
        <w:rPr>
          <w:color w:val="000000"/>
          <w:lang w:val="sr-Cyrl-RS"/>
        </w:rPr>
        <w:t>г места произилази да се послови обављају из две или више области рада у Обрасцу компетенција утврђују се те посебне функционалне компетенције и најмање три области знања и вештина из тих компетенција које запослени мора да поседује да би делотворно обавља</w:t>
      </w:r>
      <w:r w:rsidRPr="00823954">
        <w:rPr>
          <w:color w:val="000000"/>
          <w:lang w:val="sr-Cyrl-RS"/>
        </w:rPr>
        <w:t>о послове.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Изузетно од става 3. овог члана ако се послови радног места обављају из области рада послови руковођења утврђују се све области знања и вештина из те компетенције.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Одређивање посебних функционалних компетенција за одређено радно место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34.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Н</w:t>
      </w:r>
      <w:r w:rsidRPr="00823954">
        <w:rPr>
          <w:color w:val="000000"/>
          <w:lang w:val="sr-Cyrl-RS"/>
        </w:rPr>
        <w:t>а основу описа послова радног места руководилац унутрашње јединице у којој се налази одређено радно место, у сарадњи са јединицом за кадрове у државном органу при састављању описа послова радног места одређује оне посебне функционалне компетенције за одређ</w:t>
      </w:r>
      <w:r w:rsidRPr="00823954">
        <w:rPr>
          <w:color w:val="000000"/>
          <w:lang w:val="sr-Cyrl-RS"/>
        </w:rPr>
        <w:t>ено радно место потребне за обављање послова тог радног места, уношењем наведене компетенције и области знања и вештина из те компетенције у Образац компетенција тог радног места.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35.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Компетенције се уносе у Правилник о унутрашњем уређењу и систематиз</w:t>
      </w:r>
      <w:r w:rsidRPr="00823954">
        <w:rPr>
          <w:color w:val="000000"/>
          <w:lang w:val="sr-Cyrl-RS"/>
        </w:rPr>
        <w:t>ацији радних места у складу са актом о разврставању радних места и послова.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b/>
          <w:color w:val="000000"/>
          <w:lang w:val="sr-Cyrl-RS"/>
        </w:rPr>
        <w:t>5. Прелазне и завршне одредбе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Усклађивање правилника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36.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Правилници о унутрашњем уређењу и систематизацији радних места, ускладиће се са одредбама ове уредбе најкасније до 31.</w:t>
      </w:r>
      <w:r w:rsidRPr="00823954">
        <w:rPr>
          <w:color w:val="000000"/>
          <w:lang w:val="sr-Cyrl-RS"/>
        </w:rPr>
        <w:t xml:space="preserve"> октобра 2022. године.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Окончање започетих провера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37.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Провера компетенција у конкурсним поступцима који су започети до дана усклађивања правилника о унутрашњем уређењу и систематизацији радних места са одредбама ове уредбе, окончаће се применом пропис</w:t>
      </w:r>
      <w:r w:rsidRPr="00823954">
        <w:rPr>
          <w:color w:val="000000"/>
          <w:lang w:val="sr-Cyrl-RS"/>
        </w:rPr>
        <w:t>а и општег акта који је био на снази до дана усклађивања.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lastRenderedPageBreak/>
        <w:t>Престанак важења ранијег прописа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38.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Даном ступања на снагу ове уредбе престаје да важи Уредба о одређивању компетенција за рад државних службеника („Службени гласник РСˮ, број 4/19).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i/>
          <w:color w:val="000000"/>
          <w:lang w:val="sr-Cyrl-RS"/>
        </w:rPr>
        <w:t>Ступање н</w:t>
      </w:r>
      <w:r w:rsidRPr="00823954">
        <w:rPr>
          <w:i/>
          <w:color w:val="000000"/>
          <w:lang w:val="sr-Cyrl-RS"/>
        </w:rPr>
        <w:t>а снагу</w:t>
      </w:r>
    </w:p>
    <w:p w:rsidR="0050286F" w:rsidRPr="00823954" w:rsidRDefault="00823954">
      <w:pPr>
        <w:spacing w:after="120"/>
        <w:jc w:val="center"/>
        <w:rPr>
          <w:lang w:val="sr-Cyrl-RS"/>
        </w:rPr>
      </w:pPr>
      <w:r w:rsidRPr="00823954">
        <w:rPr>
          <w:color w:val="000000"/>
          <w:lang w:val="sr-Cyrl-RS"/>
        </w:rPr>
        <w:t>Члан 39.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color w:val="000000"/>
          <w:lang w:val="sr-Cyrl-RS"/>
        </w:rPr>
        <w:t>Ова уредба ступа на снагу осмог дана од дана објављивања у „Службеном гласнику Републике Србијеˮ.</w:t>
      </w:r>
    </w:p>
    <w:p w:rsidR="0050286F" w:rsidRPr="00823954" w:rsidRDefault="00823954">
      <w:pPr>
        <w:spacing w:after="150"/>
        <w:jc w:val="right"/>
        <w:rPr>
          <w:lang w:val="sr-Cyrl-RS"/>
        </w:rPr>
      </w:pPr>
      <w:r w:rsidRPr="00823954">
        <w:rPr>
          <w:color w:val="000000"/>
          <w:lang w:val="sr-Cyrl-RS"/>
        </w:rPr>
        <w:t>05 број 110-227/2022</w:t>
      </w:r>
    </w:p>
    <w:p w:rsidR="0050286F" w:rsidRPr="00823954" w:rsidRDefault="00823954">
      <w:pPr>
        <w:spacing w:after="150"/>
        <w:jc w:val="right"/>
        <w:rPr>
          <w:lang w:val="sr-Cyrl-RS"/>
        </w:rPr>
      </w:pPr>
      <w:r w:rsidRPr="00823954">
        <w:rPr>
          <w:color w:val="000000"/>
          <w:lang w:val="sr-Cyrl-RS"/>
        </w:rPr>
        <w:t>У Београду, 20. јануара 2022. године</w:t>
      </w:r>
    </w:p>
    <w:p w:rsidR="0050286F" w:rsidRPr="00823954" w:rsidRDefault="00823954">
      <w:pPr>
        <w:spacing w:after="150"/>
        <w:jc w:val="right"/>
        <w:rPr>
          <w:lang w:val="sr-Cyrl-RS"/>
        </w:rPr>
      </w:pPr>
      <w:r w:rsidRPr="00823954">
        <w:rPr>
          <w:b/>
          <w:color w:val="000000"/>
          <w:lang w:val="sr-Cyrl-RS"/>
        </w:rPr>
        <w:t>Влада</w:t>
      </w:r>
    </w:p>
    <w:p w:rsidR="0050286F" w:rsidRPr="00823954" w:rsidRDefault="00823954">
      <w:pPr>
        <w:spacing w:after="150"/>
        <w:jc w:val="right"/>
        <w:rPr>
          <w:lang w:val="sr-Cyrl-RS"/>
        </w:rPr>
      </w:pPr>
      <w:r w:rsidRPr="00823954">
        <w:rPr>
          <w:color w:val="000000"/>
          <w:lang w:val="sr-Cyrl-RS"/>
        </w:rPr>
        <w:t>Председник,</w:t>
      </w:r>
    </w:p>
    <w:p w:rsidR="0050286F" w:rsidRPr="00823954" w:rsidRDefault="00823954">
      <w:pPr>
        <w:spacing w:after="150"/>
        <w:jc w:val="right"/>
        <w:rPr>
          <w:lang w:val="sr-Cyrl-RS"/>
        </w:rPr>
      </w:pPr>
      <w:r w:rsidRPr="00823954">
        <w:rPr>
          <w:b/>
          <w:color w:val="000000"/>
          <w:lang w:val="sr-Cyrl-RS"/>
        </w:rPr>
        <w:t>Ана Брнабић,</w:t>
      </w:r>
      <w:r w:rsidRPr="00823954">
        <w:rPr>
          <w:color w:val="000000"/>
          <w:lang w:val="sr-Cyrl-RS"/>
        </w:rPr>
        <w:t xml:space="preserve"> с.р.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b/>
          <w:color w:val="000000"/>
          <w:lang w:val="sr-Cyrl-RS"/>
        </w:rPr>
        <w:t>Образац компетенција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78"/>
        <w:gridCol w:w="4202"/>
        <w:gridCol w:w="3748"/>
      </w:tblGrid>
      <w:tr w:rsidR="0050286F" w:rsidRPr="00823954">
        <w:trPr>
          <w:trHeight w:val="45"/>
          <w:tblCellSpacing w:w="0" w:type="auto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1.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b/>
                <w:color w:val="000000"/>
                <w:lang w:val="sr-Cyrl-RS"/>
              </w:rPr>
              <w:t xml:space="preserve">Редни број и назив </w:t>
            </w:r>
            <w:r w:rsidRPr="00823954">
              <w:rPr>
                <w:b/>
                <w:color w:val="000000"/>
                <w:lang w:val="sr-Cyrl-RS"/>
              </w:rPr>
              <w:t>радног места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2.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b/>
                <w:color w:val="000000"/>
                <w:lang w:val="sr-Cyrl-RS"/>
              </w:rPr>
              <w:t>Звање радног места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3.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b/>
                <w:color w:val="000000"/>
                <w:lang w:val="sr-Cyrl-RS"/>
              </w:rPr>
              <w:t>Назив уже унутрашње</w:t>
            </w:r>
          </w:p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b/>
                <w:color w:val="000000"/>
                <w:lang w:val="sr-Cyrl-RS"/>
              </w:rPr>
              <w:t>јединице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4.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b/>
                <w:color w:val="000000"/>
                <w:lang w:val="sr-Cyrl-RS"/>
              </w:rPr>
              <w:t>Понашајне компетенције</w:t>
            </w:r>
          </w:p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(заокружити)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1. Управљање информацијама</w:t>
            </w:r>
          </w:p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2. Управљање задацима и остваривање резултата</w:t>
            </w:r>
          </w:p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3. Оријентација ка учењу и променама</w:t>
            </w:r>
          </w:p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 xml:space="preserve">4. Изградња и одржавање </w:t>
            </w:r>
            <w:r w:rsidRPr="00823954">
              <w:rPr>
                <w:color w:val="000000"/>
                <w:lang w:val="sr-Cyrl-RS"/>
              </w:rPr>
              <w:t>професионалних односа</w:t>
            </w:r>
          </w:p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5. Савесност, посвећеност и интегритет</w:t>
            </w:r>
          </w:p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6. Управљање људским ресурсима</w:t>
            </w:r>
          </w:p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7. Стратешко управљање</w:t>
            </w: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5.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b/>
                <w:color w:val="000000"/>
                <w:lang w:val="sr-Cyrl-RS"/>
              </w:rPr>
              <w:t>Опште</w:t>
            </w:r>
            <w:r w:rsidRPr="00823954">
              <w:rPr>
                <w:color w:val="000000"/>
                <w:lang w:val="sr-Cyrl-RS"/>
              </w:rPr>
              <w:t xml:space="preserve"> </w:t>
            </w:r>
            <w:r w:rsidRPr="00823954">
              <w:rPr>
                <w:b/>
                <w:color w:val="000000"/>
                <w:lang w:val="sr-Cyrl-RS"/>
              </w:rPr>
              <w:t xml:space="preserve">функционалне </w:t>
            </w:r>
            <w:r w:rsidRPr="00823954">
              <w:rPr>
                <w:b/>
                <w:color w:val="000000"/>
                <w:lang w:val="sr-Cyrl-RS"/>
              </w:rPr>
              <w:lastRenderedPageBreak/>
              <w:t>компетенције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lastRenderedPageBreak/>
              <w:t xml:space="preserve">1. Организација и рад државних органа Републике </w:t>
            </w:r>
            <w:r w:rsidRPr="00823954">
              <w:rPr>
                <w:color w:val="000000"/>
                <w:lang w:val="sr-Cyrl-RS"/>
              </w:rPr>
              <w:lastRenderedPageBreak/>
              <w:t>Србије</w:t>
            </w:r>
          </w:p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2. Дигитална писменост</w:t>
            </w:r>
          </w:p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3. Пословна комуникација</w:t>
            </w: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2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lastRenderedPageBreak/>
              <w:t>6.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b/>
                <w:color w:val="000000"/>
                <w:lang w:val="sr-Cyrl-RS"/>
              </w:rPr>
              <w:t>Посебне функционалне компетенције у</w:t>
            </w:r>
            <w:r w:rsidRPr="00823954">
              <w:rPr>
                <w:color w:val="000000"/>
                <w:lang w:val="sr-Cyrl-RS"/>
              </w:rPr>
              <w:t xml:space="preserve"> </w:t>
            </w:r>
            <w:r w:rsidRPr="00823954">
              <w:rPr>
                <w:b/>
                <w:color w:val="000000"/>
                <w:lang w:val="sr-Cyrl-RS"/>
              </w:rPr>
              <w:t>одређеној области рада</w:t>
            </w:r>
          </w:p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b/>
                <w:color w:val="000000"/>
                <w:lang w:val="sr-Cyrl-RS"/>
              </w:rPr>
              <w:t>(уписати)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b/>
                <w:color w:val="000000"/>
                <w:lang w:val="sr-Cyrl-RS"/>
              </w:rPr>
              <w:t>Области знања и вештина</w:t>
            </w:r>
            <w:r w:rsidRPr="00823954">
              <w:rPr>
                <w:color w:val="000000"/>
                <w:lang w:val="sr-Cyrl-RS"/>
              </w:rPr>
              <w:t xml:space="preserve"> (уписати)</w:t>
            </w: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spacing w:after="150"/>
              <w:rPr>
                <w:lang w:val="sr-Cyrl-RS"/>
              </w:rPr>
            </w:pP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spacing w:after="150"/>
              <w:rPr>
                <w:lang w:val="sr-Cyrl-RS"/>
              </w:rPr>
            </w:pP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spacing w:after="150"/>
              <w:rPr>
                <w:lang w:val="sr-Cyrl-RS"/>
              </w:rPr>
            </w:pP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spacing w:after="150"/>
              <w:rPr>
                <w:lang w:val="sr-Cyrl-RS"/>
              </w:rPr>
            </w:pP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spacing w:after="150"/>
              <w:rPr>
                <w:lang w:val="sr-Cyrl-RS"/>
              </w:rPr>
            </w:pP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22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7.</w:t>
            </w: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b/>
                <w:color w:val="000000"/>
                <w:lang w:val="sr-Cyrl-RS"/>
              </w:rPr>
              <w:t>Посебне функционалне компетенције за одређено радно место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b/>
                <w:color w:val="000000"/>
                <w:lang w:val="sr-Cyrl-RS"/>
              </w:rPr>
              <w:t>Области знања и вештина</w:t>
            </w:r>
            <w:r w:rsidRPr="00823954">
              <w:rPr>
                <w:color w:val="000000"/>
                <w:lang w:val="sr-Cyrl-RS"/>
              </w:rPr>
              <w:t xml:space="preserve"> (уписати)</w:t>
            </w: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 xml:space="preserve">Планска документа, прописи и </w:t>
            </w:r>
            <w:r w:rsidRPr="00823954">
              <w:rPr>
                <w:color w:val="000000"/>
                <w:lang w:val="sr-Cyrl-RS"/>
              </w:rPr>
              <w:t>акти из надлежности и организације органа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Прописи из делокруга радног места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Процедуре и методологије из делокруга радног места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Софтвери (посебни софтвери неопходни за рад на радном месту)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Руковање специфичном опремом за рад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Лиценце/сертификати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Возачка дозвола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  <w:tr w:rsidR="0050286F" w:rsidRPr="008239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86F" w:rsidRPr="00823954" w:rsidRDefault="0050286F">
            <w:pPr>
              <w:rPr>
                <w:lang w:val="sr-Cyrl-RS"/>
              </w:rPr>
            </w:pPr>
          </w:p>
        </w:tc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823954">
            <w:pPr>
              <w:spacing w:after="150"/>
              <w:rPr>
                <w:lang w:val="sr-Cyrl-RS"/>
              </w:rPr>
            </w:pPr>
            <w:r w:rsidRPr="00823954">
              <w:rPr>
                <w:color w:val="000000"/>
                <w:lang w:val="sr-Cyrl-RS"/>
              </w:rPr>
              <w:t>Страни језик</w:t>
            </w:r>
          </w:p>
        </w:tc>
        <w:tc>
          <w:tcPr>
            <w:tcW w:w="5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86F" w:rsidRPr="00823954" w:rsidRDefault="0050286F">
            <w:pPr>
              <w:rPr>
                <w:lang w:val="sr-Cyrl-RS"/>
              </w:rPr>
            </w:pPr>
          </w:p>
        </w:tc>
      </w:tr>
    </w:tbl>
    <w:p w:rsidR="0050286F" w:rsidRPr="00823954" w:rsidRDefault="00823954">
      <w:pPr>
        <w:spacing w:after="150"/>
        <w:rPr>
          <w:lang w:val="sr-Cyrl-RS"/>
        </w:rPr>
      </w:pPr>
      <w:r w:rsidRPr="00823954">
        <w:rPr>
          <w:b/>
          <w:color w:val="000000"/>
          <w:lang w:val="sr-Cyrl-RS"/>
        </w:rPr>
        <w:t>Потпис државног службеника из јединице за кадрове</w:t>
      </w:r>
      <w:r w:rsidRPr="00823954">
        <w:rPr>
          <w:color w:val="000000"/>
          <w:lang w:val="sr-Cyrl-RS"/>
        </w:rPr>
        <w:t xml:space="preserve"> </w:t>
      </w:r>
      <w:r w:rsidRPr="00823954">
        <w:rPr>
          <w:b/>
          <w:color w:val="000000"/>
          <w:lang w:val="sr-Cyrl-RS"/>
        </w:rPr>
        <w:t>________</w:t>
      </w:r>
    </w:p>
    <w:p w:rsidR="0050286F" w:rsidRPr="00823954" w:rsidRDefault="00823954">
      <w:pPr>
        <w:spacing w:after="150"/>
        <w:rPr>
          <w:lang w:val="sr-Cyrl-RS"/>
        </w:rPr>
      </w:pPr>
      <w:r w:rsidRPr="00823954">
        <w:rPr>
          <w:b/>
          <w:color w:val="000000"/>
          <w:lang w:val="sr-Cyrl-RS"/>
        </w:rPr>
        <w:t>Потпис руководиоца уже унутрашње јединице ______________</w:t>
      </w:r>
      <w:bookmarkStart w:id="0" w:name="_GoBack"/>
      <w:bookmarkEnd w:id="0"/>
    </w:p>
    <w:sectPr w:rsidR="0050286F" w:rsidRPr="008239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86F"/>
    <w:rsid w:val="0050286F"/>
    <w:rsid w:val="008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D014C-FE85-4F14-B839-57FBA2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4362</Words>
  <Characters>24869</Characters>
  <Application>Microsoft Office Word</Application>
  <DocSecurity>0</DocSecurity>
  <Lines>207</Lines>
  <Paragraphs>58</Paragraphs>
  <ScaleCrop>false</ScaleCrop>
  <Company/>
  <LinksUpToDate>false</LinksUpToDate>
  <CharactersWithSpaces>29173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Nakov</cp:lastModifiedBy>
  <cp:revision>2</cp:revision>
  <dcterms:created xsi:type="dcterms:W3CDTF">2023-06-16T07:47:00Z</dcterms:created>
  <dcterms:modified xsi:type="dcterms:W3CDTF">2023-06-16T07:47:00Z</dcterms:modified>
</cp:coreProperties>
</file>